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30</w:t>
      </w:r>
    </w:p>
    <w:p>
      <w:r>
        <w:t>Bundesgericht (BGE), 1999-01-13, DE</w:t>
      </w:r>
    </w:p>
    <w:p>
      <w:r>
        <w:rPr>
          <w:b/>
        </w:rPr>
        <w:t xml:space="preserve">Quelle: </w:t>
      </w:r>
      <w:r>
        <w:t>https://mcp.opencaselaw.ch/entscheid/bge_125 IV 30</w:t>
      </w:r>
    </w:p>
    <w:p>
      <w:r>
        <w:t>FR: ATF 125 IV 30</w:t>
      </w:r>
    </w:p>
    <w:p>
      <w:r>
        <w:t>IT: DTF 125 IV 30</w:t>
      </w:r>
    </w:p>
    <w:p>
      <w:pPr>
        <w:pStyle w:val="Heading2"/>
      </w:pPr>
      <w:r>
        <w:t>Regeste</w:t>
      </w:r>
    </w:p>
    <w:p>
      <w:r>
        <w:t>Regeste Art. 47 Abs. 3 IRSG, Art. 62 Abs. 2 IRSG. Auslieferungshaftbefehl. Sicherstellung von Gegenständen und Vermögenswerten. Erlässt das Bundesamt für Polizeiwesen, dem dabei ein weites Ermessen zusteht, zulässigerweise nur eine Sicherstellungsverfügung, obwohl sich unter den sicherzustellenden Gegenständen auch solche befinden, die voraussichtlich nicht auszuliefern sind, aber zur Kostendeckung verwendet werden sollen, hat auch diese ihre Grundlage allein in Art. 47 Abs. 3 IRSG, weshalb dagegen ausschliesslich die Beschwerde an die Anklagekammer gegeben ist (E. 1). Die Sicherstellung gemäss Art. 47 Abs. 3 IRSG kann ausnahmsweise in Ergänzung eines zuvor erlassenen Auslieferungshaftbefehls auch noch verfügt werden, wenn der Beschuldigte bereits ausgeliefert worden ist (E. 2).</w:t>
      </w:r>
    </w:p>
    <w:p>
      <w:pPr>
        <w:pStyle w:val="Heading2"/>
      </w:pPr>
      <w:r>
        <w:t>Erwägungen</w:t>
      </w:r>
    </w:p>
    <w:p>
      <w:r>
        <w:rPr>
          <w:b/>
        </w:rPr>
        <w:t>E. 1</w:t>
      </w:r>
    </w:p>
    <w:p>
      <w:r>
        <w:t>a) Die Sicherstellung nach Art. 47 Abs. 3 des Bundesgesetzes über internationale Rechtshilfe in Strafsachen (IRSG; SR 351.1) ist eine vorläufige prozessuale Massnahme zur Beweissicherung bzw. zur Sicherung des durch die strafbare Handlung erzielten unrechtmässigen Gewinnes; sie muss sich daher auf jene Gegenstände und Vermögenswerte beschränken, die als Beweismittel dienen können oder aus der strafbaren Handlung herrühren ( BGE 121 IV 41 E. 4b). Nach Art. 62 Abs. 2 IRSG kann persönliches Eigentum des Verfolgten zur Deckung der Kosten des Auslieferungsverfahrens verwendet werden, soweit es nicht auszuliefern ist. b) Daraus folgt, dass eine Sicherstellung nicht unzulässig ist, wenn sich unter den sicherzustellenden Gegenständen solche befinden, BGE 125 IV 30 S. 33 die voraussichtlich nicht auszuliefern sind, aber zur Kostendeckung Verwendung finden können. Das Bundesamt für Polizeiwesen kann dabei, muss aber nicht, zwei separate Sicherstellungsverfügungen unter Angabe, welche Gegenstände unter welchem Titel sicherzustellen sind, erlassen. Bei der Wahl zwischen diesen beiden Möglichkeiten ist ihm ein, aus der Natur der Sache gerechtfertigter, weiter Spielraum des Ermessens zuzugestehen, kann doch im Einzelfall im Voraus unter Umständen nur schwer gesagt werden, was unter welchem Titel sichergestellt werden kann, zumal auch mit einer Ergänzung des Auslieferungsgesuches gerechnet werden muss. Erlässt das Bundesamt für Polizeiwesen im dargelegten Sinne in haltbarer Weise nur eine Sicherstellungsverfügung, obwohl sich unter den sicherzustellenden Gegenständen auch solche befinden, die voraussichtlich nicht auszuliefern sind, hat diese ihre Grundlage allein in Art. 47 Abs. 3 IRSG , weshalb dagegen auch ausschliesslich die Beschwerde an die Anklagekammer nach Art. 48 Abs. 2 IRSG gegeben ist. Eine Verwaltungsgerichtsbeschwerde nach Art. 25 IRSG an das Bundesgericht (vgl. dazu unveröffentlichte Urteile der Anklagekammer vom 20. September 1996 und der I. öffentlichrechtlichen Abteilung vom 12. Februar 1997 i.S. H. gegen Bundesamt für Polizeiwesen) fällt lediglich in Betracht, wenn eine Sicherstellung von Gegenständen von vornherein nur zum Zwecke der Kostendeckung erfolgt; aus der Zulässigkeit der Verwendung des Eigentums des Verfolgten zu diesem Zwecke nach Art. 62 Abs. 2 IRSG ergibt sich auch eine gesetzliche Grundlage für deren vorsorgliche Sicherstellung (vgl. die analoge Praxis zu Art. 58 StGB und 10 SBG: BGE 124 IV 313 , E 3), und damit der Beschwerdeweg nach Art. 25 IRSG und nicht nach Art. 48 Abs. 2 IRSG . c) Wie die Liste der sichergestellten Gegenstände zeigt, befinden sich darunter als Vermögenswerte lediglich ein Bargeldbetrag von Fr. 2'500.--, ein Aktienzertifikat über 34 Aktien à Fr. 1'000.-- sowie eine Einzelaktie im Nominalwert von Fr. 1'000.-- der Realstate AG. Diese sichergestellten Aktien könnten indessen nach Auffassung des Beschwerdegegners sehr wohl auch als Beweismittel im ausländischen Strafverfahren dienen. Es ist somit davon auszugehen, dass voraussichtlich ausser dem Bargeld alle gemäss Sicherstellungsprotokoll sichergestellten Gegenstände als Beweismittel in Frage kommen. Deshalb liegt nach dem Gesagten eine Sicherstellungsverfügung nach Art. 47 Abs. 3 IRSG vor, gegen die die Beschwerde an die Anklagekammer des Bundesgerichts gegeben ist.</w:t>
      </w:r>
    </w:p>
    <w:p>
      <w:r>
        <w:rPr>
          <w:b/>
        </w:rPr>
        <w:t>E. 2</w:t>
      </w:r>
    </w:p>
    <w:p>
      <w:r>
        <w:t>Gemäss Art. 47 Abs. 3 IRSG verfügt das Bundesamt für Polizeiwesen allenfalls gleichzeitig mit dem Erlass des Auslieferungsbefehls, welche Gegenstände und Vermögenswerte sichergestellt bleiben oder sicherzustellen sind. Dem Beschwerdeführer ist darin beizupflichten, dass diese Sicherstellung grundsätzlich gleichzeitig mit dem Erlass des Auslieferungsbefehls erfolgt. Im vorliegenden Fall wurde der Auslieferungshaftbefehl am 10. September 1998 erlassen; die angefochtene Sicherstellung von Gegenständen als Beweismittel wurde indessen erst am 11. November 1998 verfügt. Wenn das Bundesamt für Polizeiwesen erst im weiteren Verlauf des Verfahrens Kenntnis davon erhält, dass sich irgendwo noch als Beweismittel im ausländischen Strafverfahren in Frage kommende BGE 125 IV 30 S. 34 Gegenstände befinden könnten, ist es jedoch zulässig, die Sicherstellung auch nach dem Erlass des Auslieferungshaftbefehls in Ergänzung desselben zu verfügen; dies kann auch noch geschehen, wenn der Beschuldige bereits ausgeliefert worden ist (unveröffentlichter Entscheid der Anklagekammer vom 5. März 1997 i.S. K. und A. gegen Bundesamt für Polizeiwesen, E. 6a; vgl. auch BGE 121 IV 41 E. 4b sowie Art. 22 IRSV [SR 351.11]). Das Bundesamt für Polizeiwesen hat offensichtlich erst durch die Anfrage des Vertreters des Beschwerdeführers vom 3./4. November 1998 davon Kenntnis erhalten, dass der Beschwerdeführer, welcher bei seiner Befragung als vorübergehenden Aufenthaltsort Fürstenaubruck/GR angab, auch in Locarno über eine Wohnung verfügt. Es ist daher nicht zu beanstanden, dass der Beschwerdegegner erst zu diesem Zeitpunkt und nachdem die deutschen Behörden darum ersucht haben, die Sicherstellung der als Beweismittel in Frage kommenden Gegenstände verfügte.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